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F0A7" w14:textId="06271D5F" w:rsidR="00FE2080" w:rsidRDefault="00B90542" w:rsidP="00B90542">
      <w:pPr>
        <w:pStyle w:val="Nzov"/>
      </w:pPr>
      <w:r>
        <w:t>Náklady p</w:t>
      </w:r>
      <w:r w:rsidR="00FE2080">
        <w:t>o zaplatení</w:t>
      </w:r>
    </w:p>
    <w:p w14:paraId="1ACBBA84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17 - </w:t>
      </w:r>
      <w:r>
        <w:rPr>
          <w:rFonts w:ascii="Arial" w:hAnsi="Arial" w:cs="Arial"/>
          <w:b/>
          <w:bCs/>
          <w:sz w:val="20"/>
          <w:szCs w:val="20"/>
        </w:rPr>
        <w:t xml:space="preserve">Všeobecné ustanovenia o zisťovaní základu dane </w:t>
      </w:r>
    </w:p>
    <w:p w14:paraId="14BF099C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(19) Súčasťou základu dane daňovníka, okrem výdavkov (nákladov), ktoré sú súčasťou obstarávacej ceny alebo vlastných nákladov majetku, len po zaplatení sú </w:t>
      </w:r>
    </w:p>
    <w:p w14:paraId="7FE06D3A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71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kompenzačné platby vyplácané podľa osobitného predpisu</w:t>
      </w:r>
      <w:r>
        <w:rPr>
          <w:rFonts w:ascii="Arial" w:hAnsi="Arial" w:cs="Arial"/>
          <w:sz w:val="20"/>
          <w:szCs w:val="20"/>
          <w:vertAlign w:val="superscript"/>
        </w:rPr>
        <w:t>37ad)</w:t>
      </w:r>
      <w:r>
        <w:rPr>
          <w:rFonts w:ascii="Arial" w:hAnsi="Arial" w:cs="Arial"/>
          <w:sz w:val="20"/>
          <w:szCs w:val="20"/>
        </w:rPr>
        <w:t xml:space="preserve"> u ich dlžníka, </w:t>
      </w:r>
    </w:p>
    <w:p w14:paraId="5FCB35D1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71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výdavky (náklady) na nájomné za prenájom hnuteľnej veci, nehnuteľnosti, odplaty za poskytnutie práva na použitie alebo za použitie predmetu priemyselného vlastníctva, počítačových programov (softvér), návrhov alebo modelov, plánov, výrobno-technických a iných hospodársky využiteľných poznatkov (know-how) a odplaty za poskytnutie práva na použitie alebo za použitie autorského práva alebo práva príbuzného autorskému právu, pričom tieto výdavky (náklady) a odplaty zaplatené fyzickej osobe za príslušné zdaňovacie obdobie sa uznajú najviac do výšky časovo rozlíšenej sumy prislúchajúcej na zdaňovacie obdobie, </w:t>
      </w:r>
    </w:p>
    <w:p w14:paraId="11DC748F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71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výdavky (náklady) na marketingové štúdie a iné štúdie a na prieskum trhu u dlžníka, </w:t>
      </w:r>
    </w:p>
    <w:p w14:paraId="51705F6D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71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odplaty (provízie) za sprostredkovanie u prijímateľa služby, a to aj ak ide o sprostredkovanie na základe mandátnych zmlúv alebo obdobných zmlúv,79a) </w:t>
      </w:r>
    </w:p>
    <w:p w14:paraId="5F09AB64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71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výdavky (náklady) vzťahujúce sa k úhrade príjmov podľa § 16 ods. 1 vyplácaných, poukazovaných alebo pripisovaných v prospech daňovníka nespolupracujúceho štátu a po splnení povinností ustanovených v § 43 ods. 11 alebo § 44 ods. 3 pre daňovníka, ktorý vypláca, poukazuje alebo pripisuje uvedené príjmy, ak mu takéto povinnosti vznikli, </w:t>
      </w:r>
    </w:p>
    <w:p w14:paraId="11011085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71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výdavky (náklady) na poradenské služby a právne služby zatriedené do kódu Klasifikácie produktov 69.1, 69.2, 70.1 a 70.22,120) </w:t>
      </w:r>
    </w:p>
    <w:p w14:paraId="70E37516" w14:textId="77777777" w:rsidR="003C60F6" w:rsidRPr="00141F52" w:rsidRDefault="003C60F6" w:rsidP="003C60F6">
      <w:pPr>
        <w:spacing w:line="252" w:lineRule="auto"/>
        <w:ind w:left="1276" w:hanging="284"/>
        <w:rPr>
          <w:i/>
          <w:iCs/>
        </w:rPr>
      </w:pPr>
      <w:r w:rsidRPr="00141F52">
        <w:rPr>
          <w:i/>
          <w:iCs/>
        </w:rPr>
        <w:t>69.1 – Právne činnosti</w:t>
      </w:r>
    </w:p>
    <w:p w14:paraId="610FC4BA" w14:textId="77777777" w:rsidR="003C60F6" w:rsidRPr="00141F52" w:rsidRDefault="003C60F6" w:rsidP="003C60F6">
      <w:pPr>
        <w:spacing w:line="252" w:lineRule="auto"/>
        <w:ind w:left="1276" w:hanging="284"/>
        <w:rPr>
          <w:i/>
          <w:iCs/>
        </w:rPr>
      </w:pPr>
      <w:r w:rsidRPr="00141F52">
        <w:rPr>
          <w:i/>
          <w:iCs/>
        </w:rPr>
        <w:t>69.2 –  Účtovnícke a audítorské činnosti, vedenie účtovných kníh; daňové poradenstvo</w:t>
      </w:r>
    </w:p>
    <w:p w14:paraId="34FAF79A" w14:textId="77777777" w:rsidR="003C60F6" w:rsidRPr="00141F52" w:rsidRDefault="003C60F6" w:rsidP="003C60F6">
      <w:pPr>
        <w:spacing w:line="252" w:lineRule="auto"/>
        <w:ind w:left="1276" w:hanging="284"/>
        <w:rPr>
          <w:i/>
          <w:iCs/>
        </w:rPr>
      </w:pPr>
      <w:r w:rsidRPr="00141F52">
        <w:rPr>
          <w:i/>
          <w:iCs/>
        </w:rPr>
        <w:t>70.1 – Vedenie firiem</w:t>
      </w:r>
    </w:p>
    <w:p w14:paraId="1AF9953B" w14:textId="77777777" w:rsidR="003C60F6" w:rsidRPr="00141F52" w:rsidRDefault="003C60F6" w:rsidP="003C60F6">
      <w:pPr>
        <w:spacing w:line="252" w:lineRule="auto"/>
        <w:ind w:left="1276" w:hanging="284"/>
        <w:rPr>
          <w:i/>
          <w:iCs/>
        </w:rPr>
      </w:pPr>
      <w:r w:rsidRPr="00141F52">
        <w:rPr>
          <w:i/>
          <w:iCs/>
        </w:rPr>
        <w:t>70.22.1 – Poradenské služby v oblasti podnikania a riadenia</w:t>
      </w:r>
    </w:p>
    <w:p w14:paraId="73DEBA71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paušálna náhrada nákladov spojených s uplatnením pohľadávky,</w:t>
      </w:r>
      <w:r>
        <w:rPr>
          <w:rFonts w:ascii="Arial" w:hAnsi="Arial" w:cs="Arial"/>
          <w:sz w:val="20"/>
          <w:szCs w:val="20"/>
          <w:vertAlign w:val="superscript"/>
        </w:rPr>
        <w:t>77d)</w:t>
      </w:r>
      <w:r>
        <w:rPr>
          <w:rFonts w:ascii="Arial" w:hAnsi="Arial" w:cs="Arial"/>
          <w:sz w:val="20"/>
          <w:szCs w:val="20"/>
        </w:rPr>
        <w:t xml:space="preserve"> zmluvné pokuty, poplatky z omeškania a úroky z omeškania u dlžníka a odstupné u oprávnenej osoby,79b) </w:t>
      </w:r>
    </w:p>
    <w:p w14:paraId="42A3823A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h) výdavky (náklady) na sponzorské u sponzora na základe zmluvy o sponzorstve v športe</w:t>
      </w:r>
      <w:r>
        <w:rPr>
          <w:rFonts w:ascii="Arial" w:hAnsi="Arial" w:cs="Arial"/>
          <w:sz w:val="20"/>
          <w:szCs w:val="20"/>
          <w:vertAlign w:val="superscript"/>
        </w:rPr>
        <w:t>29ab)</w:t>
      </w:r>
      <w:r>
        <w:rPr>
          <w:rFonts w:ascii="Arial" w:hAnsi="Arial" w:cs="Arial"/>
          <w:sz w:val="20"/>
          <w:szCs w:val="20"/>
        </w:rPr>
        <w:t xml:space="preserve"> poskytnuté počas obdobia trvania zmluvy o sponzorstve v športe</w:t>
      </w:r>
      <w:r>
        <w:rPr>
          <w:rFonts w:ascii="Arial" w:hAnsi="Arial" w:cs="Arial"/>
          <w:sz w:val="20"/>
          <w:szCs w:val="20"/>
          <w:vertAlign w:val="superscript"/>
        </w:rPr>
        <w:t>29ab)</w:t>
      </w:r>
      <w:r>
        <w:rPr>
          <w:rFonts w:ascii="Arial" w:hAnsi="Arial" w:cs="Arial"/>
          <w:sz w:val="20"/>
          <w:szCs w:val="20"/>
        </w:rPr>
        <w:t xml:space="preserve"> v rozsahu podľa jeho skutočného použitia v príslušnom zdaňovacom období, ak v príslušnom zdaňovacom období sponzor vykáže kladný základ dane; za výdavky (náklady) na sponzorské sa nepovažuje poskytnutie sponzorského pre športovca</w:t>
      </w:r>
      <w:r>
        <w:rPr>
          <w:rFonts w:ascii="Arial" w:hAnsi="Arial" w:cs="Arial"/>
          <w:sz w:val="20"/>
          <w:szCs w:val="20"/>
          <w:vertAlign w:val="superscript"/>
        </w:rPr>
        <w:t>79c)</w:t>
      </w:r>
      <w:r>
        <w:rPr>
          <w:rFonts w:ascii="Arial" w:hAnsi="Arial" w:cs="Arial"/>
          <w:sz w:val="20"/>
          <w:szCs w:val="20"/>
        </w:rPr>
        <w:t xml:space="preserve"> okrem športového reprezentanta,79d) </w:t>
      </w:r>
    </w:p>
    <w:p w14:paraId="15C7CA9B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výdavky (náklady) na reklamu poskytnuté daňovníkovi podľa § 12 ods. 3 písm. a), </w:t>
      </w:r>
    </w:p>
    <w:p w14:paraId="2CB4667D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daň z poistenia platená poistníkom a daň z poistenia z preúčtovaných nákladov poistenia podľa osobitného predpisu,79e) </w:t>
      </w:r>
    </w:p>
    <w:p w14:paraId="1FCC9C82" w14:textId="77777777" w:rsidR="003C60F6" w:rsidRDefault="003C60F6" w:rsidP="003C60F6">
      <w:pPr>
        <w:widowControl w:val="0"/>
        <w:autoSpaceDE w:val="0"/>
        <w:autoSpaceDN w:val="0"/>
        <w:adjustRightInd w:val="0"/>
        <w:spacing w:before="120" w:line="252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k) odvod z nadmerných príjmov.79g) </w:t>
      </w:r>
    </w:p>
    <w:p w14:paraId="079CEB91" w14:textId="77777777" w:rsidR="003C60F6" w:rsidRDefault="003C60F6" w:rsidP="003C60F6">
      <w:pPr>
        <w:rPr>
          <w:i/>
          <w:iCs/>
        </w:rPr>
      </w:pPr>
    </w:p>
    <w:p w14:paraId="4DEA38AF" w14:textId="77777777" w:rsidR="00B90542" w:rsidRDefault="00B90542">
      <w:pPr>
        <w:rPr>
          <w:i/>
          <w:iCs/>
        </w:rPr>
      </w:pPr>
      <w:r>
        <w:rPr>
          <w:i/>
          <w:iCs/>
        </w:rPr>
        <w:br w:type="page"/>
      </w:r>
    </w:p>
    <w:p w14:paraId="39A2399A" w14:textId="259E8893" w:rsidR="003C60F6" w:rsidRPr="00141F52" w:rsidRDefault="003C60F6" w:rsidP="003C60F6">
      <w:pPr>
        <w:rPr>
          <w:i/>
          <w:iCs/>
        </w:rPr>
      </w:pPr>
      <w:r w:rsidRPr="00141F52">
        <w:rPr>
          <w:i/>
          <w:iCs/>
        </w:rPr>
        <w:lastRenderedPageBreak/>
        <w:t xml:space="preserve">Pán </w:t>
      </w:r>
      <w:proofErr w:type="spellStart"/>
      <w:r w:rsidRPr="00141F52">
        <w:rPr>
          <w:i/>
          <w:iCs/>
        </w:rPr>
        <w:t>Horniaček</w:t>
      </w:r>
      <w:proofErr w:type="spellEnd"/>
      <w:r w:rsidRPr="00141F52">
        <w:rPr>
          <w:i/>
          <w:iCs/>
        </w:rPr>
        <w:t>, pracovník MFSR ktorý prednáša aj daňovým poradcom píše:</w:t>
      </w:r>
    </w:p>
    <w:p w14:paraId="1F889EBE" w14:textId="77777777" w:rsidR="003C60F6" w:rsidRDefault="003C60F6" w:rsidP="003C60F6">
      <w:r w:rsidRPr="00141F52">
        <w:rPr>
          <w:noProof/>
        </w:rPr>
        <w:drawing>
          <wp:inline distT="0" distB="0" distL="0" distR="0" wp14:anchorId="573E91AD" wp14:editId="16676B99">
            <wp:extent cx="5760720" cy="4099560"/>
            <wp:effectExtent l="0" t="0" r="0" b="0"/>
            <wp:docPr id="113585641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564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16C1" w14:textId="77777777" w:rsidR="003C60F6" w:rsidRPr="003C60F6" w:rsidRDefault="003C60F6" w:rsidP="003C60F6"/>
    <w:sectPr w:rsidR="003C60F6" w:rsidRPr="003C60F6">
      <w:headerReference w:type="default" r:id="rId8"/>
      <w:footerReference w:type="default" r:id="rId9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67E6" w14:textId="77777777" w:rsidR="00986279" w:rsidRDefault="00986279">
      <w:r>
        <w:separator/>
      </w:r>
    </w:p>
  </w:endnote>
  <w:endnote w:type="continuationSeparator" w:id="0">
    <w:p w14:paraId="45C3774F" w14:textId="77777777" w:rsidR="00986279" w:rsidRDefault="0098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BC94" w14:textId="77777777" w:rsidR="00A411A1" w:rsidRDefault="00A411A1">
    <w:pPr>
      <w:pStyle w:val="Pta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______________________________________________________________________________________________</w:t>
    </w:r>
  </w:p>
  <w:p w14:paraId="652D1F9A" w14:textId="77777777" w:rsidR="00A411A1" w:rsidRDefault="00A411A1" w:rsidP="009646F6">
    <w:pPr>
      <w:pStyle w:val="Pta"/>
      <w:tabs>
        <w:tab w:val="clear" w:pos="9072"/>
        <w:tab w:val="right" w:pos="9180"/>
      </w:tabs>
      <w:ind w:left="6300" w:right="23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EkonServis k.s., Tomášikova 50/A, 831 04  Bratislava  Osvedčenie SKDP na daňové poradenstvo 45 / 2000</w:t>
    </w:r>
  </w:p>
  <w:p w14:paraId="0F224CBC" w14:textId="77777777" w:rsidR="00A411A1" w:rsidRDefault="00A411A1" w:rsidP="009646F6">
    <w:pPr>
      <w:pStyle w:val="Pta"/>
      <w:tabs>
        <w:tab w:val="clear" w:pos="9072"/>
        <w:tab w:val="right" w:pos="9180"/>
      </w:tabs>
      <w:ind w:left="6300" w:right="23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Okresný súd Bratislava I., Obchodný register, oddiel</w:t>
    </w:r>
  </w:p>
  <w:p w14:paraId="31E69074" w14:textId="77777777" w:rsidR="00A411A1" w:rsidRDefault="00A411A1" w:rsidP="009646F6">
    <w:pPr>
      <w:pStyle w:val="Pta"/>
      <w:tabs>
        <w:tab w:val="clear" w:pos="9072"/>
        <w:tab w:val="right" w:pos="9180"/>
      </w:tabs>
      <w:ind w:left="6300" w:right="23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Sr. vl. 494/B, IČO: 35794305, IČDPH: SK2020223337</w:t>
    </w:r>
  </w:p>
  <w:p w14:paraId="754088E8" w14:textId="77777777" w:rsidR="00A411A1" w:rsidRPr="009646F6" w:rsidRDefault="00A411A1" w:rsidP="009646F6">
    <w:pPr>
      <w:pStyle w:val="Pta"/>
      <w:tabs>
        <w:tab w:val="clear" w:pos="9072"/>
        <w:tab w:val="right" w:pos="9180"/>
      </w:tabs>
      <w:ind w:left="6300" w:right="23"/>
      <w:rPr>
        <w:rFonts w:ascii="Arial" w:hAnsi="Arial" w:cs="Arial"/>
        <w:color w:val="808080"/>
        <w:sz w:val="12"/>
        <w:szCs w:val="12"/>
      </w:rPr>
    </w:pPr>
    <w:r>
      <w:rPr>
        <w:rFonts w:ascii="Arial" w:hAnsi="Arial" w:cs="Arial"/>
        <w:color w:val="808080"/>
        <w:sz w:val="12"/>
        <w:szCs w:val="12"/>
      </w:rPr>
      <w:t>tel. +421  90</w:t>
    </w:r>
    <w:r w:rsidR="009933E9">
      <w:rPr>
        <w:rFonts w:ascii="Arial" w:hAnsi="Arial" w:cs="Arial"/>
        <w:color w:val="808080"/>
        <w:sz w:val="12"/>
        <w:szCs w:val="12"/>
      </w:rPr>
      <w:t>8</w:t>
    </w:r>
    <w:r>
      <w:rPr>
        <w:rFonts w:ascii="Arial" w:hAnsi="Arial" w:cs="Arial"/>
        <w:color w:val="808080"/>
        <w:sz w:val="12"/>
        <w:szCs w:val="12"/>
      </w:rPr>
      <w:t> 399 </w:t>
    </w:r>
    <w:r w:rsidR="009933E9">
      <w:rPr>
        <w:rFonts w:ascii="Arial" w:hAnsi="Arial" w:cs="Arial"/>
        <w:color w:val="808080"/>
        <w:sz w:val="12"/>
        <w:szCs w:val="12"/>
      </w:rPr>
      <w:t>288</w:t>
    </w:r>
    <w:r>
      <w:rPr>
        <w:rFonts w:ascii="Arial" w:hAnsi="Arial" w:cs="Arial"/>
        <w:color w:val="808080"/>
        <w:sz w:val="12"/>
        <w:szCs w:val="12"/>
      </w:rPr>
      <w:t xml:space="preserve">  e-mail: </w:t>
    </w:r>
    <w:r w:rsidR="009933E9">
      <w:rPr>
        <w:rFonts w:ascii="Arial" w:hAnsi="Arial" w:cs="Arial"/>
        <w:color w:val="808080"/>
        <w:sz w:val="12"/>
        <w:szCs w:val="12"/>
      </w:rPr>
      <w:t>ekonservis</w:t>
    </w:r>
    <w:r>
      <w:rPr>
        <w:rFonts w:ascii="Arial" w:hAnsi="Arial" w:cs="Arial"/>
        <w:color w:val="808080"/>
        <w:sz w:val="12"/>
        <w:szCs w:val="12"/>
      </w:rPr>
      <w:t>@skdp.sk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2B89" w14:textId="77777777" w:rsidR="00986279" w:rsidRDefault="00986279">
      <w:r>
        <w:separator/>
      </w:r>
    </w:p>
  </w:footnote>
  <w:footnote w:type="continuationSeparator" w:id="0">
    <w:p w14:paraId="499BE6B4" w14:textId="77777777" w:rsidR="00986279" w:rsidRDefault="0098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BFC3" w14:textId="77777777" w:rsidR="00A411A1" w:rsidRDefault="001A2637">
    <w:pPr>
      <w:rPr>
        <w:rFonts w:ascii="Arial" w:hAnsi="Arial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771710" wp14:editId="35BC7F61">
              <wp:simplePos x="0" y="0"/>
              <wp:positionH relativeFrom="column">
                <wp:posOffset>342900</wp:posOffset>
              </wp:positionH>
              <wp:positionV relativeFrom="paragraph">
                <wp:posOffset>374015</wp:posOffset>
              </wp:positionV>
              <wp:extent cx="54864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A3BE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.45pt" to="45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" strokecolor="gray"/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1B6F796B" wp14:editId="1E91B4CC">
          <wp:extent cx="1554480" cy="754380"/>
          <wp:effectExtent l="0" t="0" r="762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FA422" w14:textId="77777777" w:rsidR="00A411A1" w:rsidRDefault="00A411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9AC"/>
    <w:multiLevelType w:val="hybridMultilevel"/>
    <w:tmpl w:val="6A1E99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B77AD"/>
    <w:multiLevelType w:val="multilevel"/>
    <w:tmpl w:val="D532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776ED"/>
    <w:multiLevelType w:val="multilevel"/>
    <w:tmpl w:val="6D36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92772"/>
    <w:multiLevelType w:val="multilevel"/>
    <w:tmpl w:val="F1A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74FE8"/>
    <w:multiLevelType w:val="hybridMultilevel"/>
    <w:tmpl w:val="D60E5DA2"/>
    <w:lvl w:ilvl="0" w:tplc="F00ED1D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5142933"/>
    <w:multiLevelType w:val="multilevel"/>
    <w:tmpl w:val="82F4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43E9B"/>
    <w:multiLevelType w:val="multilevel"/>
    <w:tmpl w:val="DDEE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C0E71"/>
    <w:multiLevelType w:val="multilevel"/>
    <w:tmpl w:val="74AC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84B20"/>
    <w:multiLevelType w:val="multilevel"/>
    <w:tmpl w:val="79D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5079D6"/>
    <w:multiLevelType w:val="hybridMultilevel"/>
    <w:tmpl w:val="2D7C40D6"/>
    <w:lvl w:ilvl="0" w:tplc="D222F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940BC"/>
    <w:multiLevelType w:val="multilevel"/>
    <w:tmpl w:val="760C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0177913">
    <w:abstractNumId w:val="3"/>
  </w:num>
  <w:num w:numId="2" w16cid:durableId="2072998580">
    <w:abstractNumId w:val="5"/>
  </w:num>
  <w:num w:numId="3" w16cid:durableId="1518807717">
    <w:abstractNumId w:val="7"/>
  </w:num>
  <w:num w:numId="4" w16cid:durableId="404377458">
    <w:abstractNumId w:val="2"/>
  </w:num>
  <w:num w:numId="5" w16cid:durableId="864755101">
    <w:abstractNumId w:val="0"/>
  </w:num>
  <w:num w:numId="6" w16cid:durableId="974674138">
    <w:abstractNumId w:val="9"/>
  </w:num>
  <w:num w:numId="7" w16cid:durableId="1971013969">
    <w:abstractNumId w:val="4"/>
  </w:num>
  <w:num w:numId="8" w16cid:durableId="238639195">
    <w:abstractNumId w:val="10"/>
  </w:num>
  <w:num w:numId="9" w16cid:durableId="2046756829">
    <w:abstractNumId w:val="8"/>
  </w:num>
  <w:num w:numId="10" w16cid:durableId="1597983814">
    <w:abstractNumId w:val="1"/>
  </w:num>
  <w:num w:numId="11" w16cid:durableId="1813986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F6"/>
    <w:rsid w:val="001136F4"/>
    <w:rsid w:val="001A2637"/>
    <w:rsid w:val="00222F2C"/>
    <w:rsid w:val="0022729E"/>
    <w:rsid w:val="00246899"/>
    <w:rsid w:val="002617D6"/>
    <w:rsid w:val="0028682F"/>
    <w:rsid w:val="002E12DF"/>
    <w:rsid w:val="00353E79"/>
    <w:rsid w:val="003C60F6"/>
    <w:rsid w:val="003F6C95"/>
    <w:rsid w:val="0041595F"/>
    <w:rsid w:val="00461B2A"/>
    <w:rsid w:val="00465EC4"/>
    <w:rsid w:val="0054737E"/>
    <w:rsid w:val="00571C48"/>
    <w:rsid w:val="005A44BD"/>
    <w:rsid w:val="005C4E2C"/>
    <w:rsid w:val="005E0FC2"/>
    <w:rsid w:val="00640377"/>
    <w:rsid w:val="006642AC"/>
    <w:rsid w:val="00672F92"/>
    <w:rsid w:val="00673F4F"/>
    <w:rsid w:val="006A147E"/>
    <w:rsid w:val="007B04C3"/>
    <w:rsid w:val="007D6A2E"/>
    <w:rsid w:val="0084682E"/>
    <w:rsid w:val="008E6EFD"/>
    <w:rsid w:val="009646F6"/>
    <w:rsid w:val="00986279"/>
    <w:rsid w:val="009933E9"/>
    <w:rsid w:val="00A411A1"/>
    <w:rsid w:val="00A53843"/>
    <w:rsid w:val="00AA4013"/>
    <w:rsid w:val="00AD506F"/>
    <w:rsid w:val="00AF06E2"/>
    <w:rsid w:val="00B21090"/>
    <w:rsid w:val="00B310A8"/>
    <w:rsid w:val="00B63CAD"/>
    <w:rsid w:val="00B90542"/>
    <w:rsid w:val="00BC66AA"/>
    <w:rsid w:val="00C651BC"/>
    <w:rsid w:val="00CC6EF0"/>
    <w:rsid w:val="00CF207B"/>
    <w:rsid w:val="00D1726C"/>
    <w:rsid w:val="00D837D8"/>
    <w:rsid w:val="00DD1707"/>
    <w:rsid w:val="00E06EC8"/>
    <w:rsid w:val="00E426ED"/>
    <w:rsid w:val="00EE5B56"/>
    <w:rsid w:val="00F07F1E"/>
    <w:rsid w:val="00F45F78"/>
    <w:rsid w:val="00FD350C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53587B9"/>
  <w15:docId w15:val="{DF676617-78E0-4FBC-BDD3-DB2943F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3CAD"/>
    <w:rPr>
      <w:rFonts w:asciiTheme="minorHAnsi" w:hAnsiTheme="minorHAnsi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Nadpis3">
    <w:name w:val="heading 3"/>
    <w:basedOn w:val="Normlny"/>
    <w:next w:val="Normlny"/>
    <w:qFormat/>
    <w:rsid w:val="0022729E"/>
    <w:pPr>
      <w:keepNext/>
      <w:spacing w:before="120" w:after="120"/>
      <w:outlineLvl w:val="2"/>
    </w:pPr>
    <w:rPr>
      <w:rFonts w:ascii="Arial" w:hAnsi="Arial" w:cs="Arial"/>
      <w:b/>
      <w:bCs/>
    </w:rPr>
  </w:style>
  <w:style w:type="paragraph" w:styleId="Nadpis4">
    <w:name w:val="heading 4"/>
    <w:aliases w:val="Náš komentár"/>
    <w:basedOn w:val="Normlny"/>
    <w:next w:val="Normlny"/>
    <w:autoRedefine/>
    <w:qFormat/>
    <w:rsid w:val="001136F4"/>
    <w:pPr>
      <w:keepNext/>
      <w:outlineLvl w:val="3"/>
    </w:pPr>
    <w:rPr>
      <w:rFonts w:cs="Arial"/>
      <w:bCs/>
      <w:i/>
    </w:rPr>
  </w:style>
  <w:style w:type="paragraph" w:styleId="Nadpis5">
    <w:name w:val="heading 5"/>
    <w:aliases w:val="Nadpis odseku"/>
    <w:basedOn w:val="Normlny"/>
    <w:next w:val="Normlny"/>
    <w:autoRedefine/>
    <w:qFormat/>
    <w:rsid w:val="0022729E"/>
    <w:pPr>
      <w:keepNext/>
      <w:spacing w:before="240" w:after="120" w:line="21" w:lineRule="atLeast"/>
      <w:ind w:right="23"/>
      <w:outlineLvl w:val="4"/>
    </w:pPr>
    <w:rPr>
      <w:rFonts w:cs="Arial"/>
      <w:b/>
      <w:bCs/>
      <w:color w:val="000000" w:themeColor="text1"/>
      <w:sz w:val="28"/>
      <w:szCs w:val="2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character" w:styleId="PouitHypertextovPrepojenie">
    <w:name w:val="FollowedHyperlink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5E0FC2"/>
    <w:pPr>
      <w:spacing w:before="100" w:beforeAutospacing="1" w:after="100" w:afterAutospacing="1"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E0FC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x-none" w:eastAsia="x-none"/>
    </w:rPr>
  </w:style>
  <w:style w:type="character" w:customStyle="1" w:styleId="ZvraznencitciaChar">
    <w:name w:val="Zvýraznená citácia Char"/>
    <w:link w:val="Zvraznencitcia"/>
    <w:uiPriority w:val="30"/>
    <w:rsid w:val="005E0FC2"/>
    <w:rPr>
      <w:i/>
      <w:iCs/>
      <w:color w:val="5B9BD5"/>
      <w:sz w:val="24"/>
      <w:szCs w:val="24"/>
    </w:rPr>
  </w:style>
  <w:style w:type="character" w:styleId="Vrazn">
    <w:name w:val="Strong"/>
    <w:uiPriority w:val="22"/>
    <w:qFormat/>
    <w:rsid w:val="00AA401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2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2637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autoRedefine/>
    <w:uiPriority w:val="10"/>
    <w:qFormat/>
    <w:rsid w:val="00B63CAD"/>
    <w:pP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63CAD"/>
    <w:rPr>
      <w:rFonts w:asciiTheme="minorHAnsi" w:eastAsiaTheme="majorEastAsia" w:hAnsiTheme="minorHAnsi" w:cstheme="majorBidi"/>
      <w:b/>
      <w:color w:val="17365D" w:themeColor="text2" w:themeShade="BF"/>
      <w:spacing w:val="5"/>
      <w:kern w:val="28"/>
      <w:sz w:val="36"/>
      <w:szCs w:val="52"/>
    </w:rPr>
  </w:style>
  <w:style w:type="paragraph" w:styleId="Odsekzoznamu">
    <w:name w:val="List Paragraph"/>
    <w:basedOn w:val="Normlny"/>
    <w:uiPriority w:val="34"/>
    <w:qFormat/>
    <w:rsid w:val="00672F92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govuk-body">
    <w:name w:val="govuk-body"/>
    <w:basedOn w:val="Normlny"/>
    <w:rsid w:val="00F45F78"/>
    <w:pPr>
      <w:spacing w:before="100" w:beforeAutospacing="1" w:after="100" w:afterAutospacing="1"/>
    </w:pPr>
    <w:rPr>
      <w:rFonts w:ascii="Times New Roman" w:hAnsi="Times New Roman"/>
    </w:rPr>
  </w:style>
  <w:style w:type="paragraph" w:styleId="Bezriadkovania">
    <w:name w:val="No Spacing"/>
    <w:uiPriority w:val="1"/>
    <w:qFormat/>
    <w:rsid w:val="00B310A8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296">
          <w:marLeft w:val="0"/>
          <w:marRight w:val="0"/>
          <w:marTop w:val="0"/>
          <w:marBottom w:val="0"/>
          <w:divBdr>
            <w:top w:val="single" w:sz="6" w:space="11" w:color="BFC1C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19602583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_VZORY\List%20k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ks</Template>
  <TotalTime>1</TotalTime>
  <Pages>2</Pages>
  <Words>379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Zastupujúci klienta:  GATC s</vt:lpstr>
    </vt:vector>
  </TitlesOfParts>
  <Company>daňový poradca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Zastupujúci klienta:  GATC s</dc:title>
  <dc:creator>Karlik Tibor, Ing.</dc:creator>
  <cp:lastModifiedBy>Tibor Karlik</cp:lastModifiedBy>
  <cp:revision>3</cp:revision>
  <cp:lastPrinted>2015-05-22T07:22:00Z</cp:lastPrinted>
  <dcterms:created xsi:type="dcterms:W3CDTF">2024-01-10T12:29:00Z</dcterms:created>
  <dcterms:modified xsi:type="dcterms:W3CDTF">2024-01-10T12:30:00Z</dcterms:modified>
</cp:coreProperties>
</file>